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Неврология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04:17 МСК · База обновлена: 25.07.2026, 03:59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Неврология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37 лет госпитализирована в неврологическое отделение с прогрессирующей мышечной слабостью, нарушением самообслуживания.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выраженную мышечную слабость, нарастающую после физической нагрузки, осиплость голоса, попёрхивание при еде.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Больна в течение года. Спустя 4 месяца после родов пациентка отметила периодическое опускание верхних век к вечеру. Иногда беспокоило двоение в глазах. Считала это результатом недосыпаний и переутомлений. Еще через 4 месяца появилось периодическое попёрхивание. После долгого разговора "садился голос". Состояние неуклонно ухудшалось. Стало трудно ходить, принимать пищу из-за проблем с глотанием, после жевания отвисала нижняя челюсть. Похудела на 8 кг.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 детства часто болеет простудными заболеваниями. В подростковом возрасте была травма головы с сотрясением головного мозга.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Вес 60 кг, рост 164 см. Температура тела 36,60С. Кожные покровы обычной окраски и влажности. В легких дыхание везикулярное, хрипов нет. ЧДД 18 в мин. Тоны сердца ясные, ритмичные, ЧСС 78 уд/мин, АД 120/70 мм рт.ст. Живот мягкий, безболезненный. Печень, селезенка не увеличены. Стул, мочеиспускание в норме.</w:t>
      </w:r>
    </w:p>
    <w:p>
      <w:pPr>
        <w:spacing w:after="58"/>
      </w:pPr>
      <w:r>
        <w:rPr>
          <w:b w:val="0"/>
          <w:i w:val="0"/>
        </w:rPr>
        <w:t>*Неврологический статус*: Сознание ясное. Менингеальных симптомов нет. Речь дизартричная. Обоняние не нарушено. Зрачки равны, фотореакция живая. Нистагма нет. Асимметричный птоз. Рассогласованность движения глазных яблок. Небный и глоточный рефлексы живые. Дисфагия, дисфония. В процессе разговора речь становится все более неразборчивой. Отвисает нижняя челюсть, не может закрыть рот. Слабость мышц верхних конечностей до 4 б, нижних конечностей до 3,5 баллов, сухожильные рефлексы снижены. Нарушений чувствительности и координаторных нарушений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методом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 спинномозговой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электронейромиографическое исследование (Декремент-тест)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прозериновая проба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сыворотки крови для определения уровня аутоантител к ацетилхолиновым рецепторам (АХР)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электронейромиографическое исследование (Декремент-тест); 5 — прозериновая проба; 6 — исследование сыворотки крови для определения уровня аутоантител к ацетилхолиновым рецепторам (АХР)</w:t>
      </w:r>
    </w:p>
    <w:p>
      <w:pPr>
        <w:ind w:left="504"/>
      </w:pPr>
      <w:r>
        <w:rPr>
          <w:b w:val="0"/>
          <w:i/>
        </w:rPr>
        <w:t>Электронейромиографическое исследование проводят для выявления нарушения нервно-мышечной передачи. В мышцах больных миастенией при стимуляции частотами 3 и 40 Гц выявляется декремент амплитуды М-ответа в серии последовательных импульсов. Большое значение для диагностики имеет обратимость электрофизиологических феноменов на фоне антихолинэстеразных препаратов – нарастание амплитуды М-ответа и уменьшение декремента.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Фармакологический тест с введением прозерина - один из наиболее значимых критериев диагностики миастении.</w:t>
        <w:br/>
        <w:br/>
        <w:t>В основе оценки теста лежат колебания выраженности клинических симптомов. Проба оценивается как позитивная при полной и неполной компенсации клинических симптомов, сомнительной – при частичной компенсации и негативной при отсутствии каких либо изменений.</w:t>
        <w:br/>
        <w:br/>
        <w:t>Неврология. Национальное руководство. Краткое издание / под ред. Е. И. Гусева, А. Н. Коновалова, А. Б. Гехт. - М. : ГЭОТАР-Медиа, 2018. - 688 с. - ISBN 978-5-9704-4405-4.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Повышение уровня аутоантител к ацетилхолиновым рецепторам - один из основных критериев диагностики миастении. У больных миастенией уровень АТ повышен. В норме концентрация антител к ацетилхолиновому рецептору не превышает 0,45 нмоль/л.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Дополнительным диагностическим методом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органов переднего средостения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оценка жизненной емкости легких (спирометрия)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грудной клетки в двух проекциях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компьютерная томография органов переднего средостения</w:t>
      </w:r>
    </w:p>
    <w:p>
      <w:pPr>
        <w:ind w:left="504"/>
      </w:pPr>
      <w:r>
        <w:rPr>
          <w:b w:val="0"/>
          <w:i/>
        </w:rPr>
        <w:t>Компьютерную томографию органов переднего средостения проводят для исключения патологии вилочковой железы (тимома, гиперплазия вилочковой железы) с целью определения дальнейшей тактики лечения. Миастения в сочетании с тимомой имеет более злокачественное течение и худший прогноз, требует оперативного лечения.</w:t>
        <w:br/>
        <w:br/>
        <w:t>Нервные болезни: Учебник/ В.А. Парфенов, Н.Н. Яхно, Г.Ю. Евзиков. — Москва : ООО «Издательство «Медицинское информационное агентство», 2018 г.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проведенных обследований наиболее вероятным клиническим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Хроническая воспалительная полиневропатия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Миопатия, генерализованная форма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Миастения, генерализованная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Инсульт в вертебрально-базилярном бассейне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Миастения, генерализованная форма</w:t>
      </w:r>
    </w:p>
    <w:p>
      <w:pPr>
        <w:ind w:left="504"/>
      </w:pPr>
      <w:r>
        <w:rPr>
          <w:b w:val="0"/>
          <w:i/>
        </w:rPr>
        <w:t>Диагноз миастении является несомненным (положительны 4 критерия диагностики):</w:t>
        <w:br/>
        <w:br/>
        <w:t>* Клинические данные</w:t>
        <w:br/>
        <w:br/>
        <w:t>* Положительный фармакологический тест с прозерином</w:t>
        <w:br/>
        <w:br/>
        <w:t>* Электронейромиографическое исследование</w:t>
        <w:br/>
        <w:br/>
        <w:t>* Повышение уровня аутоантител к АХР сыворотки крови</w:t>
        <w:br/>
        <w:br/>
        <w:t>Опухоль средостения (тимома) выявлена на КТ.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(5)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Пациентке показано назначение антихолинэстеразных препаратов, хлорида калия, калийсберегающих диуретиков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глюкокортикоидов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антиоксидантов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цитостатиков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иммуномодуляторов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глюкокортикоидов</w:t>
      </w:r>
    </w:p>
    <w:p>
      <w:pPr>
        <w:ind w:left="504"/>
      </w:pPr>
      <w:r>
        <w:rPr>
          <w:b w:val="0"/>
          <w:i/>
        </w:rPr>
        <w:t>С учетом наличия тяжелых бульбарных симптомов, приведших к нарушению питания пациентки, а также перед проведением операции, для достижения стойкой компенсации миастенических симптомов показано назначение глюкокортикоидов.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побочным эффектам длительного приема глюкокортикоидных препаратов относят: повышение массы тела, нарушение толерантности к глюкозе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тромбоцито- и лейкоцитопению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артериальную гипертензию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артериальную гипотензию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нарушение менструального цикла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артериальную гипертензию</w:t>
      </w:r>
    </w:p>
    <w:p>
      <w:pPr>
        <w:ind w:left="504"/>
      </w:pPr>
      <w:r>
        <w:rPr>
          <w:b w:val="0"/>
          <w:i/>
        </w:rPr>
        <w:t>Артериальная гипертензия на фоне приема глюкокортикоидов связана с задержкой натрия и увеличением объема циркулирующей крови, ГК-зависимой вазоконстрикцией, повышенным синтезом катехоламинов и экспрессией бета1-адренергических рецепторов, изменением чувствительности к норадреналину в результате повышенного синтеза эндотелина.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Критерием назначения кортикостероидной терапии при дебюте миастении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декремент амплитуды М-ответа при ЭНМГ исследовании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 патологической мышечной утомляемости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 уровня аутоантител к ацетилхолиновым рецепторам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начало заболевания с бульбарных нарушений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начало заболевания с бульбарных нарушений</w:t>
      </w:r>
    </w:p>
    <w:p>
      <w:pPr>
        <w:ind w:left="504"/>
      </w:pPr>
      <w:r>
        <w:rPr>
          <w:b w:val="0"/>
          <w:i/>
        </w:rPr>
        <w:t>Лечение кортикостероидами обусловлено в первую очередь необходимостью восстановления витальных функций, а также при дебюте заболевания с бульбарных нарушений.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Показанием для госпитализации в отделение интенсивной терапии и нейрореанимации являет(-ют)ся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диплопия, дисфония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дыхательная недостаточность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(+) фармакологический тест с прозерином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тимома средостения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дыхательная недостаточность</w:t>
      </w:r>
    </w:p>
    <w:p>
      <w:pPr>
        <w:ind w:left="504"/>
      </w:pPr>
      <w:r>
        <w:rPr>
          <w:b w:val="0"/>
          <w:i/>
        </w:rPr>
        <w:t>Показаниями для госпитализации в отделение интенсивной терапии и нейрореанимации являются дыхательные нарушения и прогрессирование бульбарных нарушений, которое может привести к тяжелым нарушениям глотания, дыхания.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Больным миастенией противопоказано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петлевых диуретиков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венотоников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антиоксидантов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нейропротекторов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петлевых диуретиков</w:t>
      </w:r>
    </w:p>
    <w:p>
      <w:pPr>
        <w:ind w:left="504"/>
      </w:pPr>
      <w:r>
        <w:rPr>
          <w:b w:val="0"/>
          <w:i/>
        </w:rPr>
        <w:t>Все мочегонные препараты (кроме калий сберегающих диуретиков) снижают уровень калия в крови, что может усилить мышечную слабость и ухудшить состояние пациента.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Больным миастенией противопоказано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антиоксидантов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нейролептиков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глюкокортикоидов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нейролептиков</w:t>
      </w:r>
    </w:p>
    <w:p>
      <w:pPr>
        <w:ind w:left="504"/>
      </w:pPr>
      <w:r>
        <w:rPr>
          <w:b w:val="0"/>
          <w:i/>
        </w:rPr>
        <w:t>При миастении противопоказаны инсоляции, чрезмерные физические нагрузки, препараты магния, курареподобные миорелаксанты, нейролептики и транквилизаторы (кроме тофизопама), гамма-оксимасляная кислота, мочегонные [кроме спиронолактона и других спиронолактонов], антибиотики аминогликозиды (гентамицин, стрептомицин, неомицин, канамицин, мономицин℘, тобрамицин, сизомицин, амикацин, дидезоксиканамицин-В, нетилмицин), фторхинолоны (эноксацин, норфлоксацин, ципрофлоксацин, офлоксацин, флероксацин, ломефлоксацин, спарфлоксацин), а тетрациклин — под наблюдением врача, фторсодержащие кортикостероиды (дексаметазон, триамцинолон), производные хинина, D-пеницилламин.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миастении возможно развитие кризов: миастенического, смешанного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холинергического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гипертонического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гипогликемического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кетоацидотического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холинергического</w:t>
      </w:r>
    </w:p>
    <w:p>
      <w:pPr>
        <w:ind w:left="504"/>
      </w:pPr>
      <w:r>
        <w:rPr>
          <w:b w:val="0"/>
          <w:i/>
        </w:rPr>
        <w:t>Передозировка антихолинестеразных препаратов может привести к развитию холинергического криза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лечении холинергического криза при миастении используют ИВЛ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плазмаферез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петлевые диуретики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антихолинэстеразные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антибактериальные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плазмаферез</w:t>
      </w:r>
    </w:p>
    <w:p>
      <w:pPr>
        <w:ind w:left="504"/>
      </w:pPr>
      <w:r>
        <w:rPr>
          <w:b w:val="0"/>
          <w:i/>
        </w:rPr>
        <w:t>Процедура плазмофереза приводит к быстрому улучшению состояния больных за счет удаления циркулирующих аутоантител, иммунных комплексов, передозированных лекарственных препаратов.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лечении миастенического криза используют ИВЛ, плазмаферез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амоксициллин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амитриптилин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иммуноголобулин 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фуросемид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иммуноголобулин G</w:t>
      </w:r>
    </w:p>
    <w:p>
      <w:pPr>
        <w:ind w:left="504"/>
      </w:pPr>
      <w:r>
        <w:rPr>
          <w:b w:val="0"/>
          <w:i/>
        </w:rPr>
        <w:t>Введение иммуноглобулинов, как правило, приводит к быстрому улучшению состояния больного. Высокие дозы иммуноглобулинов способны подавлять иммунные процессы, играющие ведущую роль в патогенезе миастении и миастенического криза.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Неврология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44 лет обратилась к неврологу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головные боли, постоянное ощущение усталости, плохой сон.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Более 5 лет беспокоит частая (несколько раз в неделю) головная боль, от слабой до выраженной интенсивности, двухсторонняя, давящая. Для облегчения головной боли почти ежедневно принимает анальгетики до 3-4 таблеток в день, последние два года практически ежедневно, иногда "впрок" чтобы не развилась головная боль. Стала раздражительной, конфликтует с соседями, перестала по утрам бегать.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хронических заболеваний нет;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аллергоанамнез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60 кг, рост 168 см. Температура тела 36,60С. Кожные покровы обычной окраски и влажности. В легких дыхание везикулярное, хрипов нет. ЧДД 16 в мин. Тоны сердца ясные, ритмичные, ЧСС 82 уд/мин, АД 130/75 мм рт.ст. Живот мягкий, безболезненный. Печень, селезенка не увеличены. Стул, мочеиспускание в норме.</w:t>
      </w:r>
    </w:p>
    <w:p>
      <w:pPr>
        <w:spacing w:after="58"/>
      </w:pPr>
      <w:r>
        <w:rPr>
          <w:b w:val="0"/>
          <w:i w:val="0"/>
        </w:rPr>
        <w:t>*Неврологический статус*: Общемозговых и менингеальных симптомов нет, четкой очаговой симптоматики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Ведущим диагностическим методом при данном заболевании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инструментальный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молекулярно-генетический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лабораторный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клинический</w:t>
      </w:r>
    </w:p>
    <w:p>
      <w:pPr>
        <w:ind w:left="504"/>
      </w:pPr>
      <w:r>
        <w:rPr>
          <w:b w:val="0"/>
          <w:i/>
        </w:rPr>
        <w:t>Ведущим диагностическим методом при установлении генеза цефалгического синдрома является клинический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Важным диагностическим критерием установления генеза головной боли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двусторонняя локализация, сжимающий характер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возникновение головной боли без предвестников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признаков вегетативной недостаточности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усиление в определённое время суток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двусторонняя локализация, сжимающий характер</w:t>
      </w:r>
    </w:p>
    <w:p>
      <w:pPr>
        <w:ind w:left="504"/>
      </w:pPr>
      <w:r>
        <w:rPr>
          <w:b w:val="0"/>
          <w:i/>
        </w:rPr>
        <w:t>Важным диагностическим критерием головных болей напряжения  является двусторонняя локализация, сжимающий характер.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Одним из ведущих факторов хронизации головной боли у пациентки явился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 моложе 50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малоподвижный образ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конфликты с соседями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бесконтрольный прием обезболивающих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бесконтрольный прием обезболивающих</w:t>
      </w:r>
    </w:p>
    <w:p>
      <w:pPr>
        <w:ind w:left="504"/>
      </w:pPr>
      <w:r>
        <w:rPr>
          <w:b w:val="0"/>
          <w:i/>
        </w:rPr>
        <w:t>Одним из ведущих факторов хронизации головной боли является бесконтрольный прием обезболивающих.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</w:t>
        <w:br/>
        <w:br/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Лекарственно-индуцированная головная боль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Невралгия тройничного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Хроническая мигрень без ауры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Кластерная головная боль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Лекарственно-индуцированная головная боль</w:t>
      </w:r>
    </w:p>
    <w:p>
      <w:pPr>
        <w:ind w:left="504"/>
      </w:pPr>
      <w:r>
        <w:rPr>
          <w:b w:val="0"/>
          <w:i/>
        </w:rPr>
        <w:t>Двухсторонняя ежедневная головная боль, сжимающего характера, злоупотребление анальгетиками, отсутствие очаговой неврологической симптоматики позволяют диагностировать Хроническую головную боль напряжения. Лекарственно индуцированная головная боль является осложнением ГБН, характеризуется возникновением головной боли в течение 15 и более дней в месяц на протяжении 3 месяцев, может развиваться при избыточном применении любых средств для купирования ГБ (10 или 15 дней в месяц и более в зависимости от вида «виновного препарата») и обычно облегчается после его отмены.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Основным критерием диагноза у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число дней приема обезболивающих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 работоспособности и концентрации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 сна и аппетита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интенсивность и характер головной боли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число дней приема обезболивающих в месяц</w:t>
      </w:r>
    </w:p>
    <w:p>
      <w:pPr>
        <w:ind w:left="504"/>
      </w:pPr>
      <w:r>
        <w:rPr>
          <w:b w:val="0"/>
          <w:i/>
        </w:rPr>
        <w:t>Основным диагностическим критерием ЛИГБ головной боли у пациентки является число дней с приемом обезболивающих в месяц.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Наиболее частыми сопутствующими симптомами при данной патологии являют(-ет)ся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фото- и фонофобия, тошнота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бледность кожных покровов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метаморфопсии, тошнота, рвота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тревожное расстройство, диссомния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тревожное расстройство, диссомния</w:t>
      </w:r>
    </w:p>
    <w:p>
      <w:pPr>
        <w:ind w:left="504"/>
      </w:pPr>
      <w:r>
        <w:rPr>
          <w:b w:val="0"/>
          <w:i/>
        </w:rPr>
        <w:t>Наиболее частыми сопутствующими симптомами при данной патологии являются тревожное расстройство, диссомния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головной боли у пациентки следует начинать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добавления к терапии триптанов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увеличения дозы анальгетика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отмены препаратов злоупотребления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добавления к терапии эрготаминов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отмены препаратов злоупотребления</w:t>
      </w:r>
    </w:p>
    <w:p>
      <w:pPr>
        <w:ind w:left="504"/>
      </w:pPr>
      <w:r>
        <w:rPr>
          <w:b w:val="0"/>
          <w:i/>
        </w:rPr>
        <w:t>Лечение ЛИГБ следует начинать с отмены препаратов злоупотребления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Параллельно с основной терапевтической стратегией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иглорефлексотерапии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детоксикации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плазмафереза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массажа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детоксикации</w:t>
      </w:r>
    </w:p>
    <w:p>
      <w:pPr>
        <w:ind w:left="504"/>
      </w:pPr>
      <w:r>
        <w:rPr>
          <w:b w:val="0"/>
          <w:i/>
        </w:rPr>
        <w:t>Параллельно с основной терапевтической стратегией необходимо проведение детоксикации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Препаратами первого выбора в качестве профилактической терапии  головной боли у пациентки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нейролептики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антидепрессанты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ноотропы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антидепрессанты</w:t>
      </w:r>
    </w:p>
    <w:p>
      <w:pPr>
        <w:ind w:left="504"/>
      </w:pPr>
      <w:r>
        <w:rPr>
          <w:b w:val="0"/>
          <w:i/>
        </w:rPr>
        <w:t>Препаратами первого выбора в качестве профилактической терапии головной боли у пациентки являются антидепрессанты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Наиболее эффективным препаратом из группы антидепрессантов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эсциталопрам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амитриптилин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агомелатин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пароксетин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амитриптилин</w:t>
      </w:r>
    </w:p>
    <w:p>
      <w:pPr>
        <w:ind w:left="504"/>
      </w:pPr>
      <w:r>
        <w:rPr>
          <w:b w:val="0"/>
          <w:i/>
        </w:rPr>
        <w:t>Наиболее эффективным препаратом у пациентов с ГБН и ЛИГБ является амитриптилин. При его неэффективности можно использовать другой антидепрессант.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Дозу амитриптилина титруют по 5-10 мг в сутки до наступления клинической эффективности или появления нежелательных явлений 1 раз в _____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</w:t>
      </w:r>
    </w:p>
    <w:p>
      <w:pPr>
        <w:ind w:left="504"/>
      </w:pPr>
      <w:r>
        <w:rPr>
          <w:b w:val="0"/>
          <w:i/>
        </w:rPr>
        <w:t>Лечение амитриптилином начинают с небольших доз 5-10 мг /сутки, а затем каждую неделю титруют по 5-10 мг до наступления клинической эффективности или появления нежелательных явлений.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период отмены и лечения лекарственно-индуцированной головной боли суммарное количество любых обезболивающих препаратов не должно превышать _____ доз/месяц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15-20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8-10</w:t>
      </w:r>
    </w:p>
    <w:p>
      <w:pPr>
        <w:ind w:left="504"/>
      </w:pPr>
      <w:r>
        <w:rPr>
          <w:b w:val="0"/>
          <w:i/>
        </w:rPr>
        <w:t>В период отмены и лечения лекарственно-индуцированной головной боли суммарное количество любых обезболивающих препаратов не должно превышать 8-10 доз в месяц.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Неврология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ISBN9785970466728/?anchor=paragraph_uo9n6h#paragraph_uo9n6h" TargetMode="External"/><Relationship Id="rId23" Type="http://schemas.openxmlformats.org/officeDocument/2006/relationships/hyperlink" Target="https://library.mededtech.ru/rest/documents/4bd3-f6593c-6116cd/?anchor=paragraph_6d1k3r#paragraph_6d1k3r" TargetMode="External"/><Relationship Id="rId24" Type="http://schemas.openxmlformats.org/officeDocument/2006/relationships/hyperlink" Target="https://library.mededtech.ru/rest/documents/ISBN9785970466728/?anchor=paragraph_3lktqi#paragraph_3lktqi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Nervnye_bolezni/?anchor=paragraph_2g85i7#paragraph_2g85i7" TargetMode="External"/><Relationship Id="rId27" Type="http://schemas.openxmlformats.org/officeDocument/2006/relationships/hyperlink" Target="https://library.mededtech.ru/rest/documents/ISBN9785970466728/?anchor=paragraph_q33nj0#paragraph_q33nj0" TargetMode="External"/><Relationship Id="rId28" Type="http://schemas.openxmlformats.org/officeDocument/2006/relationships/hyperlink" Target="https://library.mededtech.ru/rest/documents/ISBN9785970466728/?anchor=paragraph_62cqo4#paragraph_62cqo4" TargetMode="External"/><Relationship Id="rId29" Type="http://schemas.openxmlformats.org/officeDocument/2006/relationships/hyperlink" Target="https://library.mededtech.ru/rest/documents/ISBN9785970466728/?anchor=paragraph_kuimm2#paragraph_kuimm2" TargetMode="External"/><Relationship Id="rId30" Type="http://schemas.openxmlformats.org/officeDocument/2006/relationships/hyperlink" Target="https://library.mededtech.ru/rest/documents/ISBN9785970466728/?anchor=paragraph_idjup7#paragraph_idjup7" TargetMode="External"/><Relationship Id="rId31" Type="http://schemas.openxmlformats.org/officeDocument/2006/relationships/image" Target="media/image8.png"/><Relationship Id="rId32" Type="http://schemas.openxmlformats.org/officeDocument/2006/relationships/hyperlink" Target="https://library.mededtech.ru/rest/documents/ISBN9785970466728/?anchor=paragraph_bke30d#paragraph_bke30d" TargetMode="External"/><Relationship Id="rId33" Type="http://schemas.openxmlformats.org/officeDocument/2006/relationships/image" Target="media/image9.png"/><Relationship Id="rId34" Type="http://schemas.openxmlformats.org/officeDocument/2006/relationships/hyperlink" Target="https://library.mededtech.ru/rest/documents/ISBN9785970466728/?anchor=paragraph_hp9igo#paragraph_hp9igo" TargetMode="External"/><Relationship Id="rId35" Type="http://schemas.openxmlformats.org/officeDocument/2006/relationships/hyperlink" Target="https://library.mededtech.ru/rest/documents/ISBN9785970466728/?anchor=paragraph_srla42#paragraph_srla42" TargetMode="External"/><Relationship Id="rId36" Type="http://schemas.openxmlformats.org/officeDocument/2006/relationships/hyperlink" Target="https://library.mededtech.ru/rest/documents/ISBN9785970466728/?anchor=paragraph_li8892#paragraph_li8892" TargetMode="External"/><Relationship Id="rId37" Type="http://schemas.openxmlformats.org/officeDocument/2006/relationships/hyperlink" Target="https://library.mededtech.ru/rest/documents/ISBN9785970466728/?anchor=paragraph_rssju1#paragraph_rssju1" TargetMode="External"/><Relationship Id="rId38" Type="http://schemas.openxmlformats.org/officeDocument/2006/relationships/hyperlink" Target="https://library.mededtech.ru/rest/documents/ISBN9785970466728/?anchor=paragraph_a6dqv1#paragraph_a6dqv1" TargetMode="External"/><Relationship Id="rId39" Type="http://schemas.openxmlformats.org/officeDocument/2006/relationships/hyperlink" Target="https://library.mededtech.ru/rest/documents/KP162_24/" TargetMode="External"/><Relationship Id="rId40" Type="http://schemas.openxmlformats.org/officeDocument/2006/relationships/hyperlink" Target="https://library.mededtech.ru/rest/documents/KP162_24/#list_item_crmsa5" TargetMode="External"/><Relationship Id="rId41" Type="http://schemas.openxmlformats.org/officeDocument/2006/relationships/hyperlink" Target="https://library.mededtech.ru/rest/documents/KP162_24/#paragraph_106flg" TargetMode="External"/><Relationship Id="rId42" Type="http://schemas.openxmlformats.org/officeDocument/2006/relationships/hyperlink" Target="https://library.mededtech.ru/rest/documents/KP162_24/index.html#paragraph_vm6s1c" TargetMode="External"/><Relationship Id="rId43" Type="http://schemas.openxmlformats.org/officeDocument/2006/relationships/hyperlink" Target="https://library.mededtech.ru/rest/documents/ISBN9785970466728/?anchor=paragraph_1f1dc3#paragraph_1f1dc3" TargetMode="External"/><Relationship Id="rId44" Type="http://schemas.openxmlformats.org/officeDocument/2006/relationships/hyperlink" Target="https://library.mededtech.ru/rest/documents/KP162_24/#paragraph_uv3ucn" TargetMode="External"/><Relationship Id="rId45" Type="http://schemas.openxmlformats.org/officeDocument/2006/relationships/hyperlink" Target="https://library.mededtech.ru/rest/documents/KP162_24/#paragraph_ullkv2" TargetMode="External"/><Relationship Id="rId46" Type="http://schemas.openxmlformats.org/officeDocument/2006/relationships/hyperlink" Target="https://library.mededtech.ru/rest/documents/KP162_24/#paragraph_njn247" TargetMode="External"/><Relationship Id="rId47" Type="http://schemas.openxmlformats.org/officeDocument/2006/relationships/hyperlink" Target="https://library.mededtech.ru/rest/documents/KP162_24/#paragraph_v7hkg5" TargetMode="External"/><Relationship Id="rId48" Type="http://schemas.openxmlformats.org/officeDocument/2006/relationships/hyperlink" Target="https://library.mededtech.ru/rest/documents/KP162_24/#paragraph_bmbsn8" TargetMode="External"/><Relationship Id="rId49" Type="http://schemas.openxmlformats.org/officeDocument/2006/relationships/hyperlink" Target="https://library.mededtech.ru/rest/documents/KP162_24/#paragraph_h0skq7" TargetMode="External"/><Relationship Id="rId50" Type="http://schemas.openxmlformats.org/officeDocument/2006/relationships/hyperlink" Target="https://library.mededtech.ru/rest/documents/KP162_24/#list_item_usmo5r" TargetMode="External"/><Relationship Id="rId51" Type="http://schemas.openxmlformats.org/officeDocument/2006/relationships/hyperlink" Target="https://library.mededtech.ru/rest/documents/KP162_24/#list_item_9ukefh" TargetMode="External"/><Relationship Id="rId52" Type="http://schemas.openxmlformats.org/officeDocument/2006/relationships/hyperlink" Target="https://library.mededtech.ru/rest/documents/KP162_24/#paragraph_1oeen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